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En-tête et bas de pag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val="1"/>
          <w:bCs w:val="1"/>
        </w:rPr>
      </w:pPr>
    </w:p>
    <w:p>
      <w:pPr>
        <w:pStyle w:val="Sans inter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w:hAnsi="Times"/>
          <w:i w:val="1"/>
          <w:iCs w:val="1"/>
        </w:rPr>
      </w:pPr>
    </w:p>
    <w:p>
      <w:pPr>
        <w:pStyle w:val="Sans inter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w:cs="Times" w:hAnsi="Times" w:eastAsia="Times"/>
          <w:i w:val="1"/>
          <w:iCs w:val="1"/>
        </w:rPr>
      </w:pPr>
      <w:r>
        <w:rPr>
          <w:rFonts w:ascii="Times" w:hAnsi="Times"/>
          <w:i w:val="1"/>
          <w:iCs w:val="1"/>
          <w:rtl w:val="0"/>
          <w:lang w:val="fr-FR"/>
        </w:rPr>
        <w:t xml:space="preserve">Proposal for </w:t>
      </w:r>
      <w:r>
        <w:rPr>
          <w:rFonts w:ascii="Times" w:hAnsi="Times"/>
          <w:i w:val="1"/>
          <w:iCs w:val="1"/>
          <w:rtl w:val="0"/>
          <w:lang w:val="fr-FR"/>
        </w:rPr>
        <w:t>Keynote Lecture at ICSC 2018 in Rome</w:t>
      </w:r>
    </w:p>
    <w:p>
      <w:pPr>
        <w:pStyle w:val="Sans inter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w:cs="Times" w:hAnsi="Times" w:eastAsia="Times"/>
          <w:i w:val="1"/>
          <w:iCs w:val="1"/>
        </w:rPr>
      </w:pPr>
    </w:p>
    <w:p>
      <w:pPr>
        <w:pStyle w:val="Sans inter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center"/>
        <w:rPr>
          <w:rFonts w:ascii="Times" w:cs="Times" w:hAnsi="Times" w:eastAsia="Times"/>
          <w:b w:val="1"/>
          <w:bCs w:val="1"/>
        </w:rPr>
      </w:pPr>
    </w:p>
    <w:p>
      <w:pPr>
        <w:pStyle w:val="Sans inter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center"/>
        <w:rPr>
          <w:rFonts w:ascii="Times" w:cs="Times" w:hAnsi="Times" w:eastAsia="Times"/>
          <w:b w:val="1"/>
          <w:bCs w:val="1"/>
        </w:rPr>
      </w:pPr>
      <w:r>
        <w:rPr>
          <w:rFonts w:ascii="Times" w:hAnsi="Times" w:hint="default"/>
          <w:b w:val="1"/>
          <w:bCs w:val="1"/>
          <w:rtl w:val="0"/>
          <w:lang w:val="fr-FR"/>
        </w:rPr>
        <w:t>« </w:t>
      </w:r>
      <w:r>
        <w:rPr>
          <w:rFonts w:ascii="Times" w:hAnsi="Times"/>
          <w:b w:val="1"/>
          <w:bCs w:val="1"/>
          <w:rtl w:val="0"/>
          <w:lang w:val="fr-FR"/>
        </w:rPr>
        <w:t>Cross-cultural research on spatial concept development</w:t>
      </w:r>
      <w:r>
        <w:rPr>
          <w:rFonts w:ascii="Times" w:hAnsi="Times" w:hint="default"/>
          <w:b w:val="1"/>
          <w:bCs w:val="1"/>
          <w:rtl w:val="0"/>
          <w:lang w:val="fr-FR"/>
        </w:rPr>
        <w:t xml:space="preserve"> » </w:t>
      </w:r>
    </w:p>
    <w:p>
      <w:pPr>
        <w:pStyle w:val="Sans inter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center"/>
        <w:rPr>
          <w:rFonts w:ascii="Times" w:cs="Times" w:hAnsi="Times" w:eastAsia="Times"/>
          <w:b w:val="1"/>
          <w:bCs w:val="1"/>
        </w:rPr>
      </w:pPr>
      <w:r>
        <w:rPr>
          <w:rFonts w:ascii="Times" w:hAnsi="Times"/>
          <w:b w:val="1"/>
          <w:bCs w:val="1"/>
          <w:rtl w:val="0"/>
          <w:lang w:val="fr-FR"/>
        </w:rPr>
        <w:t>Pierre R. Dasen</w:t>
      </w:r>
      <w:r>
        <w:rPr>
          <w:rFonts w:ascii="Times" w:hAnsi="Times"/>
          <w:b w:val="1"/>
          <w:bCs w:val="1"/>
          <w:rtl w:val="0"/>
          <w:lang w:val="fr-FR"/>
        </w:rPr>
        <w:t xml:space="preserve">, </w:t>
      </w:r>
      <w:r>
        <w:rPr>
          <w:rFonts w:ascii="Times" w:hAnsi="Times"/>
          <w:b w:val="1"/>
          <w:bCs w:val="1"/>
          <w:rtl w:val="0"/>
          <w:lang w:val="fr-FR"/>
        </w:rPr>
        <w:t>Universit</w:t>
      </w:r>
      <w:r>
        <w:rPr>
          <w:rFonts w:ascii="Times" w:hAnsi="Times" w:hint="default"/>
          <w:b w:val="1"/>
          <w:bCs w:val="1"/>
          <w:rtl w:val="0"/>
          <w:lang w:val="fr-FR"/>
        </w:rPr>
        <w:t xml:space="preserve">é </w:t>
      </w:r>
      <w:r>
        <w:rPr>
          <w:rFonts w:ascii="Times" w:hAnsi="Times"/>
          <w:b w:val="1"/>
          <w:bCs w:val="1"/>
          <w:rtl w:val="0"/>
          <w:lang w:val="fr-FR"/>
        </w:rPr>
        <w:t>de Gen</w:t>
      </w:r>
      <w:r>
        <w:rPr>
          <w:rFonts w:ascii="Times" w:hAnsi="Times" w:hint="default"/>
          <w:b w:val="1"/>
          <w:bCs w:val="1"/>
          <w:rtl w:val="0"/>
          <w:lang w:val="fr-FR"/>
        </w:rPr>
        <w:t>è</w:t>
      </w:r>
      <w:r>
        <w:rPr>
          <w:rFonts w:ascii="Times" w:hAnsi="Times"/>
          <w:b w:val="1"/>
          <w:bCs w:val="1"/>
          <w:rtl w:val="0"/>
          <w:lang w:val="fr-FR"/>
        </w:rPr>
        <w:t>ve</w:t>
      </w:r>
    </w:p>
    <w:p>
      <w:pPr>
        <w:pStyle w:val="Sans inter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w:cs="Times" w:hAnsi="Times" w:eastAsia="Times"/>
          <w:b w:val="1"/>
          <w:bCs w:val="1"/>
        </w:rPr>
      </w:pPr>
    </w:p>
    <w:p>
      <w:pPr>
        <w:pStyle w:val="Sans inter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w:cs="Times" w:hAnsi="Times" w:eastAsia="Times"/>
        </w:rPr>
      </w:pPr>
    </w:p>
    <w:p>
      <w:pPr>
        <w:pStyle w:val="Sans inter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w:cs="Times" w:hAnsi="Times" w:eastAsia="Times"/>
        </w:rPr>
      </w:pPr>
      <w:r>
        <w:rPr>
          <w:rFonts w:ascii="Times" w:hAnsi="Times"/>
          <w:rtl w:val="0"/>
          <w:lang w:val="fr-FR"/>
        </w:rPr>
        <w:t xml:space="preserve">I will first review cross-cultural research in the area of culture and cognition, with particular focus on the development of spatial concepts. I propose that the formulation best covering all empirical data is in terms of </w:t>
      </w:r>
      <w:r>
        <w:rPr>
          <w:rFonts w:ascii="Times" w:hAnsi="Times" w:hint="default"/>
          <w:rtl w:val="0"/>
          <w:lang w:val="fr-FR"/>
        </w:rPr>
        <w:t>« </w:t>
      </w:r>
      <w:r>
        <w:rPr>
          <w:rFonts w:ascii="Times" w:hAnsi="Times"/>
          <w:rtl w:val="0"/>
          <w:lang w:val="fr-FR"/>
        </w:rPr>
        <w:t>cognitive style</w:t>
      </w:r>
      <w:r>
        <w:rPr>
          <w:rFonts w:ascii="Times" w:hAnsi="Times" w:hint="default"/>
          <w:rtl w:val="0"/>
          <w:lang w:val="fr-FR"/>
        </w:rPr>
        <w:t> »</w:t>
      </w:r>
      <w:r>
        <w:rPr>
          <w:rFonts w:ascii="Times" w:hAnsi="Times"/>
          <w:rtl w:val="0"/>
          <w:lang w:val="fr-FR"/>
        </w:rPr>
        <w:t>, i.e. spatial cognitive processes are universally available to all humans, but there are preferences for some spatial frames of reference over others. These cultural differences are under the influence of a number of eco-cultural variables, which are often confounded, but which careful cross-cultural quasi-experimental designs allow us to tease apart.</w:t>
      </w:r>
    </w:p>
    <w:p>
      <w:pPr>
        <w:pStyle w:val="Sans inter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w:cs="Times" w:hAnsi="Times" w:eastAsia="Times"/>
        </w:rPr>
      </w:pPr>
      <w:r>
        <w:rPr>
          <w:rFonts w:ascii="Times" w:hAnsi="Times"/>
          <w:rtl w:val="0"/>
          <w:lang w:val="fr-FR"/>
        </w:rPr>
        <w:t xml:space="preserve">The second part will illustrate this general conclusion by research on the development of the </w:t>
      </w:r>
      <w:r>
        <w:rPr>
          <w:rFonts w:ascii="Times" w:hAnsi="Times" w:hint="default"/>
          <w:rtl w:val="0"/>
          <w:lang w:val="fr-FR"/>
        </w:rPr>
        <w:t>« </w:t>
      </w:r>
      <w:r>
        <w:rPr>
          <w:rFonts w:ascii="Times" w:hAnsi="Times"/>
          <w:rtl w:val="0"/>
          <w:lang w:val="fr-FR"/>
        </w:rPr>
        <w:t>geocentric</w:t>
      </w:r>
      <w:r>
        <w:rPr>
          <w:rFonts w:ascii="Times" w:hAnsi="Times" w:hint="default"/>
          <w:rtl w:val="0"/>
          <w:lang w:val="fr-FR"/>
        </w:rPr>
        <w:t xml:space="preserve"> » </w:t>
      </w:r>
      <w:r>
        <w:rPr>
          <w:rFonts w:ascii="Times" w:hAnsi="Times"/>
          <w:rtl w:val="0"/>
          <w:lang w:val="fr-FR"/>
        </w:rPr>
        <w:t xml:space="preserve">frame of spatial reference, initially studied by Levinson (2003). This is a cognitive style in which individuals choose to describe and represent small-scale table-top space in terms of large-scale geographic dimensions. In Indonesia, India, Nepal and Switzerland, we explore the development with age of geocentric language as well as geocentric cognition, and the relationships between the two, as well as the environmental and socio-cultural variables that favour the use of this frame </w:t>
      </w:r>
      <w:r>
        <w:rPr>
          <w:rFonts w:ascii="Times" w:hAnsi="Times"/>
          <w:rtl w:val="0"/>
          <w:lang w:val="fr-FR"/>
        </w:rPr>
        <w:t>(Dasen &amp; Mishra, 2010)</w:t>
      </w:r>
      <w:r>
        <w:rPr>
          <w:rFonts w:ascii="Times" w:hAnsi="Times"/>
          <w:rtl w:val="0"/>
          <w:lang w:val="fr-FR"/>
        </w:rPr>
        <w:t>.</w:t>
      </w:r>
    </w:p>
    <w:p>
      <w:pPr>
        <w:pStyle w:val="Sans inter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w:cs="Times" w:hAnsi="Times" w:eastAsia="Times"/>
        </w:rPr>
      </w:pPr>
    </w:p>
    <w:p>
      <w:pPr>
        <w:pStyle w:val="Sans inter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w:cs="Times" w:hAnsi="Times" w:eastAsia="Times"/>
        </w:rPr>
      </w:pPr>
    </w:p>
    <w:p>
      <w:pPr>
        <w:pStyle w:val="Sans inter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w:cs="Times" w:hAnsi="Times" w:eastAsia="Times"/>
        </w:rPr>
      </w:pPr>
      <w:r>
        <w:rPr>
          <w:rFonts w:ascii="Times" w:hAnsi="Times"/>
          <w:rtl w:val="0"/>
          <w:lang w:val="fr-FR"/>
        </w:rPr>
        <w:t>References</w:t>
      </w:r>
    </w:p>
    <w:p>
      <w:pPr>
        <w:pStyle w:val="Par défaut"/>
        <w:spacing w:after="240"/>
        <w:ind w:left="720" w:hanging="720"/>
        <w:jc w:val="left"/>
        <w:rPr>
          <w:rFonts w:ascii="Arial" w:cs="Arial" w:hAnsi="Arial" w:eastAsia="Arial"/>
          <w:i w:val="0"/>
          <w:iCs w:val="0"/>
          <w:sz w:val="24"/>
          <w:szCs w:val="24"/>
        </w:rPr>
      </w:pPr>
      <w:r>
        <w:rPr>
          <w:rFonts w:ascii="Arial" w:hAnsi="Arial"/>
          <w:i w:val="0"/>
          <w:iCs w:val="0"/>
          <w:sz w:val="24"/>
          <w:szCs w:val="24"/>
          <w:rtl w:val="0"/>
          <w:lang w:val="de-DE"/>
        </w:rPr>
        <w:t xml:space="preserve">Dasen, P. R., &amp; Mishra, R. C. (2010). </w:t>
      </w:r>
      <w:r>
        <w:rPr>
          <w:rFonts w:ascii="Arial" w:hAnsi="Arial"/>
          <w:i w:val="1"/>
          <w:iCs w:val="1"/>
          <w:sz w:val="24"/>
          <w:szCs w:val="24"/>
          <w:rtl w:val="0"/>
          <w:lang w:val="en-US"/>
        </w:rPr>
        <w:t>Development of geocentric spatial language and cognition</w:t>
      </w:r>
      <w:r>
        <w:rPr>
          <w:rFonts w:ascii="Arial" w:hAnsi="Arial"/>
          <w:i w:val="0"/>
          <w:iCs w:val="0"/>
          <w:sz w:val="24"/>
          <w:szCs w:val="24"/>
          <w:rtl w:val="0"/>
          <w:lang w:val="en-US"/>
        </w:rPr>
        <w:t>. Cambridge: Cambridge University Press.</w:t>
      </w:r>
    </w:p>
    <w:p>
      <w:pPr>
        <w:pStyle w:val="Par défaut"/>
        <w:spacing w:after="240"/>
        <w:ind w:left="720" w:hanging="720"/>
        <w:jc w:val="left"/>
        <w:rPr>
          <w:rFonts w:ascii="Arial" w:cs="Arial" w:hAnsi="Arial" w:eastAsia="Arial"/>
          <w:i w:val="1"/>
          <w:iCs w:val="1"/>
          <w:sz w:val="24"/>
          <w:szCs w:val="24"/>
        </w:rPr>
      </w:pPr>
      <w:r>
        <w:rPr>
          <w:rFonts w:ascii="Arial" w:hAnsi="Arial"/>
          <w:i w:val="0"/>
          <w:iCs w:val="0"/>
          <w:sz w:val="24"/>
          <w:szCs w:val="24"/>
          <w:rtl w:val="0"/>
        </w:rPr>
        <w:t xml:space="preserve">Levinson, S. (2003). </w:t>
      </w:r>
      <w:r>
        <w:rPr>
          <w:rFonts w:ascii="Arial" w:hAnsi="Arial"/>
          <w:i w:val="1"/>
          <w:iCs w:val="1"/>
          <w:sz w:val="24"/>
          <w:szCs w:val="24"/>
          <w:rtl w:val="0"/>
          <w:lang w:val="en-US"/>
        </w:rPr>
        <w:t>Space in language and cognition: Explorations in cognitive diversity</w:t>
      </w:r>
      <w:r>
        <w:rPr>
          <w:rFonts w:ascii="Arial" w:hAnsi="Arial"/>
          <w:i w:val="0"/>
          <w:iCs w:val="0"/>
          <w:sz w:val="24"/>
          <w:szCs w:val="24"/>
          <w:rtl w:val="0"/>
          <w:lang w:val="en-US"/>
        </w:rPr>
        <w:t>. Cambridge: Cambridge University Press.</w:t>
      </w:r>
    </w:p>
    <w:p>
      <w:pPr>
        <w:pStyle w:val="Par défaut"/>
        <w:spacing w:after="240"/>
        <w:ind w:left="720" w:hanging="720"/>
        <w:jc w:val="left"/>
        <w:rPr>
          <w:rFonts w:ascii="Arial" w:cs="Arial" w:hAnsi="Arial" w:eastAsia="Arial"/>
          <w:sz w:val="24"/>
          <w:szCs w:val="24"/>
        </w:rPr>
      </w:pPr>
    </w:p>
    <w:p>
      <w:pPr>
        <w:pStyle w:val="Sans inter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pPr>
      <w:r>
        <w:rPr>
          <w:rFonts w:ascii="Times" w:cs="Times" w:hAnsi="Times" w:eastAsia="Times"/>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En-tête et bas de page">
    <w:name w:val="En-tête et bas de page"/>
    <w:next w:val="En-tête et bas de page"/>
    <w:pPr>
      <w:keepNext w:val="0"/>
      <w:keepLines w:val="0"/>
      <w:pageBreakBefore w:val="0"/>
      <w:widowControl w:val="1"/>
      <w:shd w:val="clear" w:color="auto" w:fill="auto"/>
      <w:tabs>
        <w:tab w:val="right" w:pos="9632"/>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Pr>
  </w:style>
  <w:style w:type="paragraph" w:styleId="Sans interligne">
    <w:name w:val="Sans interligne"/>
    <w:next w:val="Sans interligne"/>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vertAlign w:val="baseline"/>
      <w:lang w:val="fr-FR"/>
    </w:rPr>
  </w:style>
  <w:style w:type="paragraph" w:styleId="Par défaut">
    <w:name w:val="Par défaut"/>
    <w:next w:val="Par défau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de-D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